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Straight Flush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"straight flush" is the most unusual (hence most valuable) rank.  You hardly ever see them during games!  To have a straight flush, you must hold 5 cards that qualify </w:t>
      </w:r>
      <w:r w:rsidDel="00000000" w:rsidR="00000000" w:rsidRPr="00000000">
        <w:rPr>
          <w:i w:val="1"/>
          <w:rtl w:val="0"/>
        </w:rPr>
        <w:t xml:space="preserve">both </w:t>
      </w:r>
      <w:r w:rsidDel="00000000" w:rsidR="00000000" w:rsidRPr="00000000">
        <w:rPr>
          <w:rtl w:val="0"/>
        </w:rPr>
        <w:t xml:space="preserve">as a straight and as a flush.  In other words you must hold 5 cards with consecutive values and identical suits.  (Please see the sections on "Straights" and "Flushes" for more precise definitions.)  Below is an example of a "Straight Flush":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cards are all diamonds (same suit), and they have consecutive values (4, 5, 6, 7, 8).  I wish I would get cards like these more often!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